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hd w:fill="auto" w:val="clear"/>
        <w:spacing w:after="120" w:before="480" w:line="276" w:lineRule="auto"/>
        <w:ind w:left="0" w:firstLine="0"/>
        <w:rPr>
          <w:sz w:val="72"/>
          <w:szCs w:val="72"/>
        </w:rPr>
      </w:pPr>
      <w:bookmarkStart w:colFirst="0" w:colLast="0" w:name="_fr69pd3dzzxc" w:id="0"/>
      <w:bookmarkEnd w:id="0"/>
      <w:r w:rsidDel="00000000" w:rsidR="00000000" w:rsidRPr="00000000">
        <w:rPr>
          <w:sz w:val="72"/>
          <w:szCs w:val="72"/>
          <w:rtl w:val="0"/>
        </w:rPr>
        <w:t xml:space="preserve">Schéma Pluriannuel de Mise en Accessibilité Numérique Provisoire</w:t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jhqlmyoalzws" w:id="1"/>
      <w:bookmarkEnd w:id="1"/>
      <w:r w:rsidDel="00000000" w:rsidR="00000000" w:rsidRPr="00000000">
        <w:rPr>
          <w:rtl w:val="0"/>
        </w:rPr>
        <w:t xml:space="preserve">1. Introduction</w:t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  <w:t xml:space="preserve">Ce document présente le schéma pluriannuel de mise en accessibilité numérique de </w:t>
      </w:r>
      <w:r w:rsidDel="00000000" w:rsidR="00000000" w:rsidRPr="00000000">
        <w:rPr>
          <w:color w:val="0069fb"/>
          <w:rtl w:val="0"/>
        </w:rPr>
        <w:t xml:space="preserve">Mairie de Bruges</w:t>
      </w:r>
      <w:r w:rsidDel="00000000" w:rsidR="00000000" w:rsidRPr="00000000">
        <w:rPr>
          <w:rtl w:val="0"/>
        </w:rPr>
        <w:t xml:space="preserve">, couvrant une période de 3 ans.</w:t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  <w:t xml:space="preserve">L'objectif est de garantir l'accessibilité des services numériques à tous les utilisateurs, y compris les personnes en situation de handicap.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before="360" w:lineRule="auto"/>
        <w:rPr>
          <w:sz w:val="34"/>
          <w:szCs w:val="34"/>
        </w:rPr>
      </w:pPr>
      <w:bookmarkStart w:colFirst="0" w:colLast="0" w:name="_z7l0z5180pk0" w:id="2"/>
      <w:bookmarkEnd w:id="2"/>
      <w:r w:rsidDel="00000000" w:rsidR="00000000" w:rsidRPr="00000000">
        <w:rPr>
          <w:sz w:val="34"/>
          <w:szCs w:val="34"/>
          <w:rtl w:val="0"/>
        </w:rPr>
        <w:t xml:space="preserve">2. Engagement et Politique d’Accessibilité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color w:val="0069fb"/>
          <w:rtl w:val="0"/>
        </w:rPr>
        <w:t xml:space="preserve">Mairie de Bruges</w:t>
      </w:r>
      <w:r w:rsidDel="00000000" w:rsidR="00000000" w:rsidRPr="00000000">
        <w:rPr>
          <w:rtl w:val="0"/>
        </w:rPr>
        <w:t xml:space="preserve"> s'engage à intégrer progressivement l'accessibilité numérique dans ses services en ligne.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C’est pourquoi nous nous engageons à compléter ce schéma pluriannuel en respectant et suivant les 9 thématiques nécessaires à sa pleine conception, à savoir 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Stratégie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Référent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Ressources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Fiche de poste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Formation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Gouvernance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Achat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Projet digitaux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 bilan des plans d’actions annuels</w:t>
        <w:br w:type="textWrapping"/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spacing w:after="80" w:before="360" w:lineRule="auto"/>
        <w:rPr/>
      </w:pPr>
      <w:bookmarkStart w:colFirst="0" w:colLast="0" w:name="_8eh6s1xdmh8n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spacing w:after="80" w:before="360" w:lineRule="auto"/>
        <w:rPr>
          <w:sz w:val="34"/>
          <w:szCs w:val="34"/>
        </w:rPr>
      </w:pPr>
      <w:bookmarkStart w:colFirst="0" w:colLast="0" w:name="_j6vkggpamla0" w:id="4"/>
      <w:bookmarkEnd w:id="4"/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sz w:val="34"/>
          <w:szCs w:val="34"/>
          <w:rtl w:val="0"/>
        </w:rPr>
        <w:t xml:space="preserve">. Mise en Conformité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Rule="auto"/>
        <w:rPr>
          <w:sz w:val="26"/>
          <w:szCs w:val="26"/>
        </w:rPr>
      </w:pPr>
      <w:bookmarkStart w:colFirst="0" w:colLast="0" w:name="_sebva7nbodjn" w:id="5"/>
      <w:bookmarkEnd w:id="5"/>
      <w:r w:rsidDel="00000000" w:rsidR="00000000" w:rsidRPr="00000000">
        <w:rPr>
          <w:sz w:val="26"/>
          <w:szCs w:val="26"/>
          <w:rtl w:val="0"/>
        </w:rPr>
        <w:t xml:space="preserve">Nouveaux Projets et Conformité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b w:val="1"/>
          <w:rtl w:val="0"/>
        </w:rPr>
        <w:t xml:space="preserve">Nouveaux Projets</w:t>
      </w:r>
      <w:r w:rsidDel="00000000" w:rsidR="00000000" w:rsidRPr="00000000">
        <w:rPr>
          <w:rtl w:val="0"/>
        </w:rPr>
        <w:t xml:space="preserve"> : L'accessibilité est prise en compte dès la conception des nouveaux projets.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before="0" w:beforeAutospacing="0"/>
        <w:ind w:left="720" w:hanging="360"/>
      </w:pPr>
      <w:r w:rsidDel="00000000" w:rsidR="00000000" w:rsidRPr="00000000">
        <w:rPr>
          <w:b w:val="1"/>
          <w:rtl w:val="0"/>
        </w:rPr>
        <w:t xml:space="preserve">Tests Utilisateurs</w:t>
      </w:r>
      <w:r w:rsidDel="00000000" w:rsidR="00000000" w:rsidRPr="00000000">
        <w:rPr>
          <w:rtl w:val="0"/>
        </w:rPr>
        <w:t xml:space="preserve"> : Des utilisateurs en situation de handicap seront invités à participer aux tests utilisateurs lorsque cela est possible.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Rule="auto"/>
        <w:rPr>
          <w:sz w:val="26"/>
          <w:szCs w:val="26"/>
        </w:rPr>
      </w:pPr>
      <w:bookmarkStart w:colFirst="0" w:colLast="0" w:name="_v8hwyb91q0pb" w:id="6"/>
      <w:bookmarkEnd w:id="6"/>
      <w:r w:rsidDel="00000000" w:rsidR="00000000" w:rsidRPr="00000000">
        <w:rPr>
          <w:sz w:val="26"/>
          <w:szCs w:val="26"/>
          <w:rtl w:val="0"/>
        </w:rPr>
        <w:t xml:space="preserve">Correctifs et Améliorations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Mesures correctives</w:t>
      </w:r>
      <w:r w:rsidDel="00000000" w:rsidR="00000000" w:rsidRPr="00000000">
        <w:rPr>
          <w:rtl w:val="0"/>
        </w:rPr>
        <w:t xml:space="preserve"> : Les audits identifient les contenus non conformes, et un calendrier de correction est établi pour améliorer l'expérience utilisateur.</w:t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rPr/>
      </w:pPr>
      <w:bookmarkStart w:colFirst="0" w:colLast="0" w:name="_3y453xb9wxzm" w:id="7"/>
      <w:bookmarkEnd w:id="7"/>
      <w:r w:rsidDel="00000000" w:rsidR="00000000" w:rsidRPr="00000000">
        <w:rPr>
          <w:rtl w:val="0"/>
        </w:rPr>
        <w:t xml:space="preserve">5. Plans d'Actions et Suivi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b w:val="1"/>
          <w:rtl w:val="0"/>
        </w:rPr>
        <w:t xml:space="preserve">Plan d’Actions Annuel</w:t>
      </w:r>
      <w:r w:rsidDel="00000000" w:rsidR="00000000" w:rsidRPr="00000000">
        <w:rPr>
          <w:rtl w:val="0"/>
        </w:rPr>
        <w:t xml:space="preserve"> : Un plan d'actions est défini chaque année pour garantir l'amélioration continue des services.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before="0" w:beforeAutospacing="0"/>
        <w:ind w:left="720" w:hanging="360"/>
      </w:pPr>
      <w:r w:rsidDel="00000000" w:rsidR="00000000" w:rsidRPr="00000000">
        <w:rPr>
          <w:b w:val="1"/>
          <w:rtl w:val="0"/>
        </w:rPr>
        <w:t xml:space="preserve">Suivi des Progrès</w:t>
      </w:r>
      <w:r w:rsidDel="00000000" w:rsidR="00000000" w:rsidRPr="00000000">
        <w:rPr>
          <w:rtl w:val="0"/>
        </w:rPr>
        <w:t xml:space="preserve"> : Un bilan annuel est réalisé pour évaluer l'état de l'accessibilité et définir les priorités de l'année suivante.</w:t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Rule="auto"/>
        <w:rPr/>
      </w:pPr>
      <w:bookmarkStart w:colFirst="0" w:colLast="0" w:name="_hor39qetdc3c" w:id="8"/>
      <w:bookmarkEnd w:id="8"/>
      <w:r w:rsidDel="00000000" w:rsidR="00000000" w:rsidRPr="00000000">
        <w:rPr>
          <w:sz w:val="26"/>
          <w:szCs w:val="26"/>
          <w:rtl w:val="0"/>
        </w:rPr>
        <w:t xml:space="preserve">Tableau : Plan d'Action de l'Année en Cours</w:t>
      </w: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40"/>
        <w:gridCol w:w="3360"/>
        <w:tblGridChange w:id="0">
          <w:tblGrid>
            <w:gridCol w:w="5640"/>
            <w:gridCol w:w="3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Action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Statut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Publication de la Déclaration d’accessibilité provisoire : Mairie de Bruges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Publiée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Audit d’accessibilité numérique : https://www.mairie-bruges.fr/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En cours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Publication de la Déclaration d’accessibilité complétée : https://www.mairie-bruges.fr/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Prévu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Rédaction complète du schéma pluriannuel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Prévu</w:t>
            </w:r>
          </w:p>
        </w:tc>
      </w:tr>
    </w:tbl>
    <w:p w:rsidR="00000000" w:rsidDel="00000000" w:rsidP="00000000" w:rsidRDefault="00000000" w:rsidRPr="00000000" w14:paraId="00000026">
      <w:pPr>
        <w:pStyle w:val="Heading2"/>
        <w:keepNext w:val="0"/>
        <w:keepLines w:val="0"/>
        <w:spacing w:after="80" w:before="360" w:lineRule="auto"/>
        <w:rPr>
          <w:sz w:val="34"/>
          <w:szCs w:val="34"/>
        </w:rPr>
      </w:pPr>
      <w:bookmarkStart w:colFirst="0" w:colLast="0" w:name="_ymswlf2k1pe7" w:id="9"/>
      <w:bookmarkEnd w:id="9"/>
      <w:r w:rsidDel="00000000" w:rsidR="00000000" w:rsidRPr="00000000">
        <w:rPr>
          <w:sz w:val="34"/>
          <w:szCs w:val="34"/>
          <w:rtl w:val="0"/>
        </w:rPr>
        <w:t xml:space="preserve">6. Conclusion</w:t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color w:val="0069fb"/>
          <w:rtl w:val="0"/>
        </w:rPr>
        <w:t xml:space="preserve">Mairie de Bruges</w:t>
      </w:r>
      <w:r w:rsidDel="00000000" w:rsidR="00000000" w:rsidRPr="00000000">
        <w:rPr>
          <w:rtl w:val="0"/>
        </w:rPr>
        <w:t xml:space="preserve"> s'engage à assurer l'amélioration continue de l'accessibilité numérique pour offrir une expérience inclusive à tous ses utilisateurs.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tkinson Hyperlegib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after="0" w:before="0" w:lineRule="auto"/>
      <w:ind w:left="0" w:firstLine="0"/>
      <w:jc w:val="right"/>
      <w:rPr>
        <w:color w:val="666666"/>
        <w:sz w:val="20"/>
        <w:szCs w:val="20"/>
      </w:rPr>
    </w:pPr>
    <w:r w:rsidDel="00000000" w:rsidR="00000000" w:rsidRPr="00000000">
      <w:rPr>
        <w:color w:val="666666"/>
        <w:sz w:val="20"/>
        <w:szCs w:val="20"/>
        <w:rtl w:val="0"/>
      </w:rPr>
      <w:t xml:space="preserve">Contenu Schéma pluriannuel provisoire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9526</wp:posOffset>
          </wp:positionV>
          <wp:extent cx="1700213" cy="34735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0213" cy="3473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spacing w:after="0" w:before="0" w:lineRule="auto"/>
      <w:ind w:left="720" w:hanging="360"/>
      <w:jc w:val="right"/>
      <w:rPr>
        <w:color w:val="666666"/>
        <w:sz w:val="20"/>
        <w:szCs w:val="20"/>
      </w:rPr>
    </w:pPr>
    <w:r w:rsidDel="00000000" w:rsidR="00000000" w:rsidRPr="00000000">
      <w:rPr>
        <w:color w:val="666666"/>
        <w:sz w:val="20"/>
        <w:szCs w:val="20"/>
        <w:rtl w:val="0"/>
      </w:rPr>
      <w:t xml:space="preserve">Mairie de Bruges</w:t>
    </w:r>
  </w:p>
  <w:p w:rsidR="00000000" w:rsidDel="00000000" w:rsidP="00000000" w:rsidRDefault="00000000" w:rsidRPr="00000000" w14:paraId="0000002A">
    <w:pPr>
      <w:spacing w:after="0" w:before="0" w:lineRule="auto"/>
      <w:ind w:left="0" w:firstLine="0"/>
      <w:jc w:val="right"/>
      <w:rPr/>
    </w:pPr>
    <w:r w:rsidDel="00000000" w:rsidR="00000000" w:rsidRPr="00000000">
      <w:rPr>
        <w:color w:val="ff0000"/>
        <w:sz w:val="20"/>
        <w:szCs w:val="20"/>
        <w:rtl w:val="0"/>
      </w:rPr>
      <w:t xml:space="preserve">Contenu à reporter dans la page schéma pluriannuel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tkinson Hyperlegible" w:cs="Atkinson Hyperlegible" w:eastAsia="Atkinson Hyperlegible" w:hAnsi="Atkinson Hyperlegible"/>
        <w:color w:val="434343"/>
        <w:sz w:val="24"/>
        <w:szCs w:val="24"/>
        <w:lang w:val="fr"/>
      </w:rPr>
    </w:rPrDefault>
    <w:pPrDefault>
      <w:pPr>
        <w:spacing w:after="240" w:before="240" w:line="276" w:lineRule="auto"/>
        <w:ind w:left="1440" w:hanging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hd w:fill="ffffff" w:val="clear"/>
      <w:spacing w:after="640" w:line="240" w:lineRule="auto"/>
    </w:pPr>
    <w:rPr>
      <w:b w:val="1"/>
      <w:sz w:val="56"/>
      <w:szCs w:val="5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ind w:left="0" w:firstLine="0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ind w:left="0" w:firstLine="0"/>
    </w:pPr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tkinsonHyperlegible-regular.ttf"/><Relationship Id="rId2" Type="http://schemas.openxmlformats.org/officeDocument/2006/relationships/font" Target="fonts/AtkinsonHyperlegible-bold.ttf"/><Relationship Id="rId3" Type="http://schemas.openxmlformats.org/officeDocument/2006/relationships/font" Target="fonts/AtkinsonHyperlegible-italic.ttf"/><Relationship Id="rId4" Type="http://schemas.openxmlformats.org/officeDocument/2006/relationships/font" Target="fonts/AtkinsonHyperlegibl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